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786"/>
        <w:gridCol w:w="5221"/>
        <w:gridCol w:w="216"/>
        <w:gridCol w:w="216"/>
        <w:gridCol w:w="401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31875AB" w:rsidR="00093CA9" w:rsidRDefault="00405FC1"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2633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72783FA3" w14:textId="77777777" w:rsidR="00526339" w:rsidRPr="00526339" w:rsidRDefault="00526339" w:rsidP="00526339">
            <w:pPr>
              <w:rPr>
                <w:lang w:val="en-US"/>
              </w:rPr>
            </w:pPr>
            <w:r w:rsidRPr="00526339">
              <w:rPr>
                <w:lang w:val="en-US"/>
              </w:rPr>
              <w:t xml:space="preserve">Law 2099 of 2021 “By which provisions are established for the energy transition, the stimulation of the energy market, the economic reactivation of the country, and other related provisions” </w:t>
            </w:r>
          </w:p>
          <w:p w14:paraId="0A2E38BE" w14:textId="77777777" w:rsidR="00526339" w:rsidRPr="00526339" w:rsidRDefault="00526339" w:rsidP="00526339">
            <w:pPr>
              <w:rPr>
                <w:lang w:val="en-US"/>
              </w:rPr>
            </w:pPr>
          </w:p>
          <w:p w14:paraId="313A697B" w14:textId="7D7DDA4E" w:rsidR="00093CA9" w:rsidRPr="00526339" w:rsidRDefault="00526339" w:rsidP="00234788">
            <w:pPr>
              <w:rPr>
                <w:lang w:val="en-US"/>
              </w:rPr>
            </w:pPr>
            <w:r w:rsidRPr="00526339">
              <w:rPr>
                <w:lang w:val="en-US"/>
              </w:rPr>
              <w:t xml:space="preserve">(Ley 2099 de 2021 “Por medio de la </w:t>
            </w:r>
            <w:proofErr w:type="spellStart"/>
            <w:r w:rsidRPr="00526339">
              <w:rPr>
                <w:lang w:val="en-US"/>
              </w:rPr>
              <w:t>cual</w:t>
            </w:r>
            <w:proofErr w:type="spellEnd"/>
            <w:r w:rsidRPr="00526339">
              <w:rPr>
                <w:lang w:val="en-US"/>
              </w:rPr>
              <w:t xml:space="preserve"> se </w:t>
            </w:r>
            <w:proofErr w:type="spellStart"/>
            <w:r w:rsidRPr="00526339">
              <w:rPr>
                <w:lang w:val="en-US"/>
              </w:rPr>
              <w:t>dictan</w:t>
            </w:r>
            <w:proofErr w:type="spellEnd"/>
            <w:r w:rsidRPr="00526339">
              <w:rPr>
                <w:lang w:val="en-US"/>
              </w:rPr>
              <w:t xml:space="preserve"> </w:t>
            </w:r>
            <w:proofErr w:type="spellStart"/>
            <w:r w:rsidRPr="00526339">
              <w:rPr>
                <w:lang w:val="en-US"/>
              </w:rPr>
              <w:t>disposiciones</w:t>
            </w:r>
            <w:proofErr w:type="spellEnd"/>
            <w:r w:rsidRPr="00526339">
              <w:rPr>
                <w:lang w:val="en-US"/>
              </w:rPr>
              <w:t xml:space="preserve"> para la </w:t>
            </w:r>
            <w:proofErr w:type="spellStart"/>
            <w:r w:rsidRPr="00526339">
              <w:rPr>
                <w:lang w:val="en-US"/>
              </w:rPr>
              <w:t>transición</w:t>
            </w:r>
            <w:proofErr w:type="spellEnd"/>
            <w:r w:rsidRPr="00526339">
              <w:rPr>
                <w:lang w:val="en-US"/>
              </w:rPr>
              <w:t xml:space="preserve"> </w:t>
            </w:r>
            <w:proofErr w:type="spellStart"/>
            <w:r w:rsidRPr="00526339">
              <w:rPr>
                <w:lang w:val="en-US"/>
              </w:rPr>
              <w:t>energética</w:t>
            </w:r>
            <w:proofErr w:type="spellEnd"/>
            <w:r w:rsidRPr="00526339">
              <w:rPr>
                <w:lang w:val="en-US"/>
              </w:rPr>
              <w:t xml:space="preserve">, la </w:t>
            </w:r>
            <w:proofErr w:type="spellStart"/>
            <w:r w:rsidRPr="00526339">
              <w:rPr>
                <w:lang w:val="en-US"/>
              </w:rPr>
              <w:t>dinamización</w:t>
            </w:r>
            <w:proofErr w:type="spellEnd"/>
            <w:r w:rsidRPr="00526339">
              <w:rPr>
                <w:lang w:val="en-US"/>
              </w:rPr>
              <w:t xml:space="preserve"> del mercado </w:t>
            </w:r>
            <w:proofErr w:type="spellStart"/>
            <w:r w:rsidRPr="00526339">
              <w:rPr>
                <w:lang w:val="en-US"/>
              </w:rPr>
              <w:t>energético</w:t>
            </w:r>
            <w:proofErr w:type="spellEnd"/>
            <w:r w:rsidRPr="00526339">
              <w:rPr>
                <w:lang w:val="en-US"/>
              </w:rPr>
              <w:t xml:space="preserve">, la </w:t>
            </w:r>
            <w:proofErr w:type="spellStart"/>
            <w:r w:rsidRPr="00526339">
              <w:rPr>
                <w:lang w:val="en-US"/>
              </w:rPr>
              <w:t>reactivación</w:t>
            </w:r>
            <w:proofErr w:type="spellEnd"/>
            <w:r w:rsidRPr="00526339">
              <w:rPr>
                <w:lang w:val="en-US"/>
              </w:rPr>
              <w:t xml:space="preserve"> </w:t>
            </w:r>
            <w:proofErr w:type="spellStart"/>
            <w:r w:rsidRPr="00526339">
              <w:rPr>
                <w:lang w:val="en-US"/>
              </w:rPr>
              <w:t>económica</w:t>
            </w:r>
            <w:proofErr w:type="spellEnd"/>
            <w:r w:rsidRPr="00526339">
              <w:rPr>
                <w:lang w:val="en-US"/>
              </w:rPr>
              <w:t xml:space="preserve"> del </w:t>
            </w:r>
            <w:proofErr w:type="spellStart"/>
            <w:r w:rsidRPr="00526339">
              <w:rPr>
                <w:lang w:val="en-US"/>
              </w:rPr>
              <w:t>país</w:t>
            </w:r>
            <w:proofErr w:type="spellEnd"/>
            <w:r w:rsidRPr="00526339">
              <w:rPr>
                <w:lang w:val="en-US"/>
              </w:rPr>
              <w:t xml:space="preserve"> y se </w:t>
            </w:r>
            <w:proofErr w:type="spellStart"/>
            <w:r w:rsidRPr="00526339">
              <w:rPr>
                <w:lang w:val="en-US"/>
              </w:rPr>
              <w:t>dictan</w:t>
            </w:r>
            <w:proofErr w:type="spellEnd"/>
            <w:r w:rsidRPr="00526339">
              <w:rPr>
                <w:lang w:val="en-US"/>
              </w:rPr>
              <w:t xml:space="preserve"> </w:t>
            </w:r>
            <w:proofErr w:type="spellStart"/>
            <w:r w:rsidRPr="00526339">
              <w:rPr>
                <w:lang w:val="en-US"/>
              </w:rPr>
              <w:t>otras</w:t>
            </w:r>
            <w:proofErr w:type="spellEnd"/>
            <w:r w:rsidRPr="00526339">
              <w:rPr>
                <w:lang w:val="en-US"/>
              </w:rPr>
              <w:t xml:space="preserve"> </w:t>
            </w:r>
            <w:proofErr w:type="spellStart"/>
            <w:r w:rsidRPr="00526339">
              <w:rPr>
                <w:lang w:val="en-US"/>
              </w:rPr>
              <w:t>disposiciones</w:t>
            </w:r>
            <w:proofErr w:type="spellEnd"/>
            <w:r w:rsidRPr="00526339">
              <w:rPr>
                <w:lang w:val="en-U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0A150CC" w:rsidR="00093CA9" w:rsidRDefault="00E27AD2" w:rsidP="00093CA9">
            <w:hyperlink r:id="rId17" w:history="1">
              <w:r w:rsidRPr="009F5DF8">
                <w:rPr>
                  <w:rStyle w:val="Hipervnculo"/>
                </w:rPr>
                <w:t>https://web.archive.org/web/20250707150133/https://www.funcionpublica.gov.co/eva/gestornormativo/norma_pdf.php?i=166326</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2886A4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22123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61AA3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0A66888" w14:textId="21FCCBB4" w:rsidR="00DB4948" w:rsidRDefault="00DB4948" w:rsidP="00DB4948">
            <w:pPr>
              <w:jc w:val="both"/>
            </w:pPr>
            <w:r>
              <w:t xml:space="preserve">The policy tool </w:t>
            </w:r>
            <w:r>
              <w:t>is a legislative instrument enacted by the Colombian government to modernize the national energy framework and accelerate the transition toward low-carbon energy systems. Its primary goal is to promote the development, integration, and use of non-conventional renewable energy sources, such as solar, wind, geothermal, biomass, and hydrogen (green and blue), while enhancing energy efficiency and economic reactivation.</w:t>
            </w:r>
          </w:p>
          <w:p w14:paraId="18257824" w14:textId="754C90E7" w:rsidR="00093CA9" w:rsidRDefault="00DB4948" w:rsidP="00DB4948">
            <w:pPr>
              <w:jc w:val="both"/>
            </w:pPr>
            <w:r>
              <w:t>The law is directly relevant to the transition planning domain as it establishes concrete obligations and incentives for entities to act on decarbonization. It mandates the creation of strategic projects, defines mechanisms for planning and financing energy transition initiatives, and introduces fiscal and regulatory incentives (e.g., tax deductions, VAT exclusions, accelerated depreciation) that require prior certification by the national energy planning authority (</w:t>
            </w:r>
            <w:proofErr w:type="spellStart"/>
            <w:r>
              <w:t>UPME</w:t>
            </w:r>
            <w:proofErr w:type="spellEnd"/>
            <w:r>
              <w:t>). These certifications serve as a form of disclosure and validation of credible transition plans.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BE220B7" w:rsidR="00093CA9" w:rsidRDefault="00DB494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2871A93" w:rsidR="00093CA9" w:rsidRPr="00173D7C" w:rsidRDefault="00DB4948"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93415F7" w:rsidR="00093CA9" w:rsidRPr="00173D7C" w:rsidRDefault="00DB4948"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C585CA7" w:rsidR="00093CA9" w:rsidRDefault="00DB4948" w:rsidP="00093CA9">
            <w:r w:rsidRPr="00DB4948">
              <w:t>Congress of the Republic of Colombia</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8CEDD51" w:rsidR="00093CA9" w:rsidRPr="006B7B0D" w:rsidRDefault="00DB4948" w:rsidP="00093CA9">
            <w:r>
              <w:t>Ministry of Mines and Energy of Colombia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30D26B8" w:rsidR="00093CA9" w:rsidRPr="006B7B0D" w:rsidRDefault="00DB494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DD36109" w:rsidR="00093CA9" w:rsidRPr="006B7B0D" w:rsidRDefault="00DB4948" w:rsidP="00093CA9">
            <w:r w:rsidRPr="00DB4948">
              <w:t xml:space="preserve">Unidad de </w:t>
            </w:r>
            <w:proofErr w:type="spellStart"/>
            <w:r w:rsidRPr="00DB4948">
              <w:t>Planeación</w:t>
            </w:r>
            <w:proofErr w:type="spellEnd"/>
            <w:r w:rsidRPr="00DB4948">
              <w:t xml:space="preserve"> Minero-Energética (</w:t>
            </w:r>
            <w:proofErr w:type="spellStart"/>
            <w:r w:rsidRPr="00DB4948">
              <w:t>UPME</w:t>
            </w:r>
            <w:proofErr w:type="spellEnd"/>
            <w:r w:rsidRPr="00DB4948">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13E9CB1" w:rsidR="00093CA9" w:rsidRPr="006B7B0D" w:rsidRDefault="00DB494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1284759" w:rsidR="00093CA9" w:rsidRPr="006B7B0D" w:rsidRDefault="00DB4948" w:rsidP="00093CA9">
            <w:r w:rsidRPr="00DB4948">
              <w:t>Comisión de Regulación de Energía y Gas (CREG)</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1462462" w:rsidR="00093CA9" w:rsidRPr="006B7B0D" w:rsidRDefault="00DB494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F65865C" w:rsidR="00093CA9" w:rsidRDefault="00DB494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03EEC4E" w14:textId="77777777" w:rsidR="003067AA" w:rsidRPr="003067AA" w:rsidRDefault="003067AA" w:rsidP="003067AA">
            <w:pPr>
              <w:pStyle w:val="Prrafodelista"/>
              <w:keepNext/>
              <w:numPr>
                <w:ilvl w:val="0"/>
                <w:numId w:val="49"/>
              </w:numPr>
              <w:rPr>
                <w:color w:val="000000" w:themeColor="text1"/>
              </w:rPr>
            </w:pPr>
            <w:r w:rsidRPr="003067AA">
              <w:rPr>
                <w:color w:val="000000" w:themeColor="text1"/>
              </w:rPr>
              <w:t xml:space="preserve">Centralized Information Platform by </w:t>
            </w:r>
            <w:proofErr w:type="spellStart"/>
            <w:r w:rsidRPr="003067AA">
              <w:rPr>
                <w:color w:val="000000" w:themeColor="text1"/>
              </w:rPr>
              <w:t>FENOGE</w:t>
            </w:r>
            <w:proofErr w:type="spellEnd"/>
          </w:p>
          <w:p w14:paraId="6271D594" w14:textId="77777777" w:rsidR="003067AA" w:rsidRPr="003067AA" w:rsidRDefault="003067AA" w:rsidP="003067AA">
            <w:pPr>
              <w:keepNext/>
              <w:rPr>
                <w:color w:val="000000" w:themeColor="text1"/>
              </w:rPr>
            </w:pPr>
            <w:r w:rsidRPr="003067AA">
              <w:rPr>
                <w:color w:val="000000" w:themeColor="text1"/>
              </w:rPr>
              <w:t xml:space="preserve">Article 7 authorizes the Fondo de </w:t>
            </w:r>
            <w:proofErr w:type="spellStart"/>
            <w:r w:rsidRPr="003067AA">
              <w:rPr>
                <w:color w:val="000000" w:themeColor="text1"/>
              </w:rPr>
              <w:t>Energías</w:t>
            </w:r>
            <w:proofErr w:type="spellEnd"/>
            <w:r w:rsidRPr="003067AA">
              <w:rPr>
                <w:color w:val="000000" w:themeColor="text1"/>
              </w:rPr>
              <w:t xml:space="preserve"> No </w:t>
            </w:r>
            <w:proofErr w:type="spellStart"/>
            <w:r w:rsidRPr="003067AA">
              <w:rPr>
                <w:color w:val="000000" w:themeColor="text1"/>
              </w:rPr>
              <w:t>Convencionales</w:t>
            </w:r>
            <w:proofErr w:type="spellEnd"/>
            <w:r w:rsidRPr="003067AA">
              <w:rPr>
                <w:color w:val="000000" w:themeColor="text1"/>
              </w:rPr>
              <w:t xml:space="preserve"> y </w:t>
            </w:r>
            <w:proofErr w:type="spellStart"/>
            <w:r w:rsidRPr="003067AA">
              <w:rPr>
                <w:color w:val="000000" w:themeColor="text1"/>
              </w:rPr>
              <w:t>Gestión</w:t>
            </w:r>
            <w:proofErr w:type="spellEnd"/>
            <w:r w:rsidRPr="003067AA">
              <w:rPr>
                <w:color w:val="000000" w:themeColor="text1"/>
              </w:rPr>
              <w:t xml:space="preserve"> </w:t>
            </w:r>
            <w:proofErr w:type="spellStart"/>
            <w:r w:rsidRPr="003067AA">
              <w:rPr>
                <w:color w:val="000000" w:themeColor="text1"/>
              </w:rPr>
              <w:t>Eficiente</w:t>
            </w:r>
            <w:proofErr w:type="spellEnd"/>
            <w:r w:rsidRPr="003067AA">
              <w:rPr>
                <w:color w:val="000000" w:themeColor="text1"/>
              </w:rPr>
              <w:t xml:space="preserve"> de la Energía (</w:t>
            </w:r>
            <w:proofErr w:type="spellStart"/>
            <w:r w:rsidRPr="003067AA">
              <w:rPr>
                <w:color w:val="000000" w:themeColor="text1"/>
              </w:rPr>
              <w:t>FENOGE</w:t>
            </w:r>
            <w:proofErr w:type="spellEnd"/>
            <w:r w:rsidRPr="003067AA">
              <w:rPr>
                <w:color w:val="000000" w:themeColor="text1"/>
              </w:rPr>
              <w:t xml:space="preserve">) to create and manage a centralized platform or database for projects related to renewable energy and energy efficiency. This platform may be populated with data from </w:t>
            </w:r>
            <w:proofErr w:type="spellStart"/>
            <w:r w:rsidRPr="003067AA">
              <w:rPr>
                <w:color w:val="000000" w:themeColor="text1"/>
              </w:rPr>
              <w:t>UPME</w:t>
            </w:r>
            <w:proofErr w:type="spellEnd"/>
            <w:r w:rsidRPr="003067AA">
              <w:rPr>
                <w:color w:val="000000" w:themeColor="text1"/>
              </w:rPr>
              <w:t>, IPSE, and other entities.</w:t>
            </w:r>
          </w:p>
          <w:p w14:paraId="49E5F015" w14:textId="77777777" w:rsidR="003067AA" w:rsidRPr="003067AA" w:rsidRDefault="003067AA" w:rsidP="003067AA">
            <w:pPr>
              <w:pStyle w:val="Prrafodelista"/>
              <w:keepNext/>
              <w:numPr>
                <w:ilvl w:val="0"/>
                <w:numId w:val="49"/>
              </w:numPr>
              <w:rPr>
                <w:color w:val="000000" w:themeColor="text1"/>
              </w:rPr>
            </w:pPr>
            <w:r w:rsidRPr="003067AA">
              <w:rPr>
                <w:color w:val="000000" w:themeColor="text1"/>
              </w:rPr>
              <w:t xml:space="preserve">Certification Requirements by </w:t>
            </w:r>
            <w:proofErr w:type="spellStart"/>
            <w:r w:rsidRPr="003067AA">
              <w:rPr>
                <w:color w:val="000000" w:themeColor="text1"/>
              </w:rPr>
              <w:t>UPME</w:t>
            </w:r>
            <w:proofErr w:type="spellEnd"/>
          </w:p>
          <w:p w14:paraId="2868E406" w14:textId="1C7775DD" w:rsidR="003067AA" w:rsidRPr="003067AA" w:rsidRDefault="003067AA" w:rsidP="003067AA">
            <w:pPr>
              <w:keepNext/>
              <w:rPr>
                <w:color w:val="000000" w:themeColor="text1"/>
              </w:rPr>
            </w:pPr>
            <w:r w:rsidRPr="003067AA">
              <w:rPr>
                <w:color w:val="000000" w:themeColor="text1"/>
              </w:rPr>
              <w:t>Articles 11 through 14 require that investments in non-conventional renewable energy (</w:t>
            </w:r>
            <w:proofErr w:type="spellStart"/>
            <w:r w:rsidRPr="003067AA">
              <w:rPr>
                <w:color w:val="000000" w:themeColor="text1"/>
              </w:rPr>
              <w:t>FNCER</w:t>
            </w:r>
            <w:proofErr w:type="spellEnd"/>
            <w:r w:rsidRPr="003067AA">
              <w:rPr>
                <w:color w:val="000000" w:themeColor="text1"/>
              </w:rPr>
              <w:t xml:space="preserve">), energy efficiency, hydrogen, and carbon capture technologies be evaluated and certified by the Unidad de </w:t>
            </w:r>
            <w:proofErr w:type="spellStart"/>
            <w:r w:rsidRPr="003067AA">
              <w:rPr>
                <w:color w:val="000000" w:themeColor="text1"/>
              </w:rPr>
              <w:t>Planeación</w:t>
            </w:r>
            <w:proofErr w:type="spellEnd"/>
            <w:r w:rsidRPr="003067AA">
              <w:rPr>
                <w:color w:val="000000" w:themeColor="text1"/>
              </w:rPr>
              <w:t xml:space="preserve"> Minero-Energética (</w:t>
            </w:r>
            <w:proofErr w:type="spellStart"/>
            <w:r w:rsidRPr="003067AA">
              <w:rPr>
                <w:color w:val="000000" w:themeColor="text1"/>
              </w:rPr>
              <w:t>UPME</w:t>
            </w:r>
            <w:proofErr w:type="spellEnd"/>
            <w:r w:rsidRPr="003067AA">
              <w:rPr>
                <w:color w:val="000000" w:themeColor="text1"/>
              </w:rPr>
              <w:t>). This certification process functions as a form of project validation and oversight.</w:t>
            </w:r>
          </w:p>
          <w:p w14:paraId="42BE3B02" w14:textId="45B0BDA9" w:rsidR="003067AA" w:rsidRPr="003067AA" w:rsidRDefault="003067AA" w:rsidP="003067AA">
            <w:pPr>
              <w:pStyle w:val="Prrafodelista"/>
              <w:keepNext/>
              <w:numPr>
                <w:ilvl w:val="0"/>
                <w:numId w:val="49"/>
              </w:numPr>
              <w:rPr>
                <w:color w:val="000000" w:themeColor="text1"/>
              </w:rPr>
            </w:pPr>
            <w:r w:rsidRPr="003067AA">
              <w:rPr>
                <w:color w:val="000000" w:themeColor="text1"/>
              </w:rPr>
              <w:t>Periodic Reporting by CREG</w:t>
            </w:r>
          </w:p>
          <w:p w14:paraId="2C2128DB" w14:textId="2DF15CE1" w:rsidR="00093CA9" w:rsidRPr="008017F9" w:rsidRDefault="003067AA" w:rsidP="003067AA">
            <w:pPr>
              <w:keepNext/>
              <w:rPr>
                <w:color w:val="000000" w:themeColor="text1"/>
              </w:rPr>
            </w:pPr>
            <w:r w:rsidRPr="003067AA">
              <w:rPr>
                <w:color w:val="000000" w:themeColor="text1"/>
              </w:rPr>
              <w:t xml:space="preserve">Article 44 mandates that the Comisión de Regulación de Energía y Gas (CREG) must submit </w:t>
            </w:r>
            <w:proofErr w:type="spellStart"/>
            <w:r w:rsidRPr="003067AA">
              <w:rPr>
                <w:color w:val="000000" w:themeColor="text1"/>
              </w:rPr>
              <w:t>semiannual</w:t>
            </w:r>
            <w:proofErr w:type="spellEnd"/>
            <w:r w:rsidRPr="003067AA">
              <w:rPr>
                <w:color w:val="000000" w:themeColor="text1"/>
              </w:rPr>
              <w:t xml:space="preserve"> reports to the Fifth Commissions of the Colombian Congress. These reports must clearly summarize the decisions and administrative acts issued, including the rationale behind them.</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769"/>
        <w:gridCol w:w="4581"/>
        <w:gridCol w:w="332"/>
        <w:gridCol w:w="1378"/>
        <w:gridCol w:w="1681"/>
        <w:gridCol w:w="1720"/>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42BAAC"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60048A7"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3F0055C" w:rsidR="00C4670C" w:rsidRPr="00C37D48" w:rsidRDefault="002C548A"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0A0A7A55"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4F03D589"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6123CD9F"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5943955" w:rsidR="00C4670C" w:rsidRPr="00C37D48" w:rsidRDefault="002C548A"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268534A" w:rsidR="00C4670C" w:rsidRPr="00C37D48" w:rsidRDefault="002C548A"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3B4FD3D1"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EED93E7"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4E66202F"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03221AAD" w:rsidR="00C4670C" w:rsidRPr="00C37D48" w:rsidRDefault="002C548A"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07DDD09" w:rsidR="00C4670C" w:rsidRPr="00C37D48" w:rsidRDefault="002C548A"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3CBD9E01" w:rsidR="004F276F" w:rsidRPr="00C37D48" w:rsidRDefault="00312671"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6B29E385" w:rsidR="004F276F" w:rsidRPr="00C37D48" w:rsidRDefault="004F276F" w:rsidP="00C37D48">
            <w:pPr>
              <w:rPr>
                <w:rFonts w:ascii="Calibri" w:hAnsi="Calibri" w:cs="Calibri"/>
              </w:rPr>
            </w:pPr>
          </w:p>
        </w:tc>
        <w:tc>
          <w:tcPr>
            <w:tcW w:w="1664" w:type="dxa"/>
            <w:vAlign w:val="center"/>
          </w:tcPr>
          <w:p w14:paraId="5911FCCB" w14:textId="410A5ACE" w:rsidR="004F276F" w:rsidRPr="00C37D48" w:rsidRDefault="00312671"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454A637B" w:rsidR="004F276F" w:rsidRPr="00C37D48" w:rsidRDefault="00312671"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1D74CEF" w:rsidR="004F276F" w:rsidRPr="00C37D48" w:rsidRDefault="00312671"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BAF5234" w:rsidR="004F276F" w:rsidRPr="00C37D48" w:rsidRDefault="00312671"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FF16584" w:rsidR="004F276F" w:rsidRPr="00C37D48" w:rsidRDefault="0031267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AD03D84" w:rsidR="004F276F" w:rsidRPr="00C37D48" w:rsidRDefault="00312671"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1D4AC25" w:rsidR="004F276F" w:rsidRPr="00C37D48" w:rsidRDefault="00312671"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6DCF451" w:rsidR="004F276F" w:rsidRPr="00C37D48" w:rsidRDefault="0031267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595780D" w:rsidR="004F276F" w:rsidRPr="00C37D48" w:rsidRDefault="00312671"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22B8681" w:rsidR="004F276F" w:rsidRPr="00C37D48" w:rsidRDefault="0031267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AD3DF66" w:rsidR="004F276F" w:rsidRPr="00C37D48" w:rsidRDefault="0031267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3D2E3268" w:rsidR="004F276F" w:rsidRPr="00C37D48" w:rsidRDefault="00312671"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0509E44" w:rsidR="004F276F" w:rsidRPr="00C37D48" w:rsidRDefault="00312671"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622030E2" w:rsidR="004F276F" w:rsidRPr="00C37D48" w:rsidRDefault="00242440"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080044CB" w:rsidR="004F276F" w:rsidRPr="00C37D48" w:rsidRDefault="00242440"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0D5BC870" w:rsidR="004F276F" w:rsidRPr="00C37D48" w:rsidRDefault="00242440"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15251601" w:rsidR="004F276F" w:rsidRPr="00C37D48" w:rsidRDefault="00242440"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AC9E95F" w:rsidR="004F276F" w:rsidRPr="00C37D48" w:rsidRDefault="00242440"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F0AC684" w:rsidR="004F276F" w:rsidRPr="00C37D48" w:rsidRDefault="00242440"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B6E8A1A" w:rsidR="004F276F" w:rsidRPr="00C37D48" w:rsidRDefault="00242440"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AB4BA3E" w:rsidR="004F276F" w:rsidRPr="00C37D48" w:rsidRDefault="00242440"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1E3BAADC" w:rsidR="004F276F" w:rsidRPr="00C37D48" w:rsidRDefault="00242440" w:rsidP="00C37D48">
            <w:pPr>
              <w:rPr>
                <w:rFonts w:ascii="Calibri" w:hAnsi="Calibri" w:cs="Calibri"/>
              </w:rPr>
            </w:pPr>
            <w:r w:rsidRPr="00242440">
              <w:rPr>
                <w:rFonts w:ascii="Calibri" w:hAnsi="Calibri" w:cs="Calibri"/>
              </w:rPr>
              <w:t>The law applies to entities operating or registered in Colombia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AAF20C0" w:rsidR="004F276F" w:rsidRPr="00C37D48" w:rsidRDefault="00242440"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567E0F6F" w:rsidR="004F276F" w:rsidRPr="00C37D48" w:rsidRDefault="007E5811"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D23008C" w:rsidR="004F276F" w:rsidRPr="00C37D48" w:rsidRDefault="007E5811"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089FA39E" w:rsidR="004F276F" w:rsidRPr="00C37D48" w:rsidRDefault="007E5811"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AE0632D" w14:textId="07651880" w:rsidR="007E5811" w:rsidRPr="007E5811" w:rsidRDefault="007E5811" w:rsidP="007E5811">
            <w:pPr>
              <w:rPr>
                <w:rFonts w:ascii="Calibri" w:hAnsi="Calibri" w:cs="Calibri"/>
              </w:rPr>
            </w:pPr>
            <w:r>
              <w:rPr>
                <w:rFonts w:ascii="Calibri" w:hAnsi="Calibri" w:cs="Calibri"/>
              </w:rPr>
              <w:t xml:space="preserve">The policy tool </w:t>
            </w:r>
            <w:r w:rsidRPr="007E5811">
              <w:rPr>
                <w:rFonts w:ascii="Calibri" w:hAnsi="Calibri" w:cs="Calibri"/>
              </w:rPr>
              <w:t>stablishes a specific set of sanctions for non-compliance, particularly in the context of geothermal energy projects. These are detailed in Articles</w:t>
            </w:r>
            <w:r>
              <w:rPr>
                <w:rFonts w:ascii="Calibri" w:hAnsi="Calibri" w:cs="Calibri"/>
              </w:rPr>
              <w:t xml:space="preserve"> 15 and 16</w:t>
            </w:r>
            <w:r w:rsidRPr="007E5811">
              <w:rPr>
                <w:rFonts w:ascii="Calibri" w:hAnsi="Calibri" w:cs="Calibri"/>
              </w:rPr>
              <w:t>. The provisions include:</w:t>
            </w:r>
          </w:p>
          <w:p w14:paraId="0D49C104" w14:textId="77777777" w:rsidR="007E5811" w:rsidRPr="007E5811" w:rsidRDefault="007E5811" w:rsidP="007E5811">
            <w:pPr>
              <w:rPr>
                <w:rFonts w:ascii="Calibri" w:hAnsi="Calibri" w:cs="Calibri"/>
              </w:rPr>
            </w:pPr>
            <w:r w:rsidRPr="007E5811">
              <w:rPr>
                <w:rFonts w:ascii="Calibri" w:hAnsi="Calibri" w:cs="Calibri"/>
              </w:rPr>
              <w:t>1. Monetary Fine</w:t>
            </w:r>
          </w:p>
          <w:p w14:paraId="617E801B" w14:textId="4C69AC7C" w:rsidR="007E5811" w:rsidRPr="007E5811" w:rsidRDefault="007E5811" w:rsidP="007E5811">
            <w:pPr>
              <w:rPr>
                <w:rFonts w:ascii="Calibri" w:hAnsi="Calibri" w:cs="Calibri"/>
              </w:rPr>
            </w:pPr>
            <w:r w:rsidRPr="007E5811">
              <w:rPr>
                <w:rFonts w:ascii="Calibri" w:hAnsi="Calibri" w:cs="Calibri"/>
              </w:rPr>
              <w:t xml:space="preserve">Entities that violate the technical or regulatory requirements for geothermal energy projects may be fined up to 112,000 UVT </w:t>
            </w:r>
          </w:p>
          <w:p w14:paraId="4D057ADA" w14:textId="74E22F27" w:rsidR="007E5811" w:rsidRPr="007E5811" w:rsidRDefault="007E5811" w:rsidP="007E5811">
            <w:pPr>
              <w:rPr>
                <w:rFonts w:ascii="Calibri" w:hAnsi="Calibri" w:cs="Calibri"/>
              </w:rPr>
            </w:pPr>
            <w:r w:rsidRPr="007E5811">
              <w:rPr>
                <w:rFonts w:ascii="Calibri" w:hAnsi="Calibri" w:cs="Calibri"/>
              </w:rPr>
              <w:t>The fine is imposed by the Ministry of Mines and Energy or its designated entity, depending on the severity and nature of the infraction.</w:t>
            </w:r>
          </w:p>
          <w:p w14:paraId="6646DE60" w14:textId="77777777" w:rsidR="007E5811" w:rsidRPr="007E5811" w:rsidRDefault="007E5811" w:rsidP="007E5811">
            <w:pPr>
              <w:rPr>
                <w:rFonts w:ascii="Calibri" w:hAnsi="Calibri" w:cs="Calibri"/>
              </w:rPr>
            </w:pPr>
            <w:r w:rsidRPr="007E5811">
              <w:rPr>
                <w:rFonts w:ascii="Calibri" w:hAnsi="Calibri" w:cs="Calibri"/>
              </w:rPr>
              <w:t>2. Restriction on Business Activities</w:t>
            </w:r>
          </w:p>
          <w:p w14:paraId="47CDF944" w14:textId="10EE6605" w:rsidR="007E5811" w:rsidRPr="007E5811" w:rsidRDefault="007E5811" w:rsidP="007E5811">
            <w:pPr>
              <w:rPr>
                <w:rFonts w:ascii="Calibri" w:hAnsi="Calibri" w:cs="Calibri"/>
              </w:rPr>
            </w:pPr>
            <w:r w:rsidRPr="007E5811">
              <w:rPr>
                <w:rFonts w:ascii="Calibri" w:hAnsi="Calibri" w:cs="Calibri"/>
              </w:rPr>
              <w:t>The Ministry may order the suspension or cancellation of the geothermal project’s registration, effectively halting exploration or exploitation activities.</w:t>
            </w:r>
          </w:p>
          <w:p w14:paraId="43E0913A" w14:textId="77777777" w:rsidR="007E5811" w:rsidRPr="007E5811" w:rsidRDefault="007E5811" w:rsidP="007E5811">
            <w:pPr>
              <w:rPr>
                <w:rFonts w:ascii="Calibri" w:hAnsi="Calibri" w:cs="Calibri"/>
              </w:rPr>
            </w:pPr>
            <w:r w:rsidRPr="007E5811">
              <w:rPr>
                <w:rFonts w:ascii="Calibri" w:hAnsi="Calibri" w:cs="Calibri"/>
              </w:rPr>
              <w:t>3. Other Sanctions</w:t>
            </w:r>
          </w:p>
          <w:p w14:paraId="19302AA6" w14:textId="0DD9B4C3" w:rsidR="007E5811" w:rsidRPr="007E5811" w:rsidRDefault="007E5811" w:rsidP="007E5811">
            <w:pPr>
              <w:rPr>
                <w:rFonts w:ascii="Calibri" w:hAnsi="Calibri" w:cs="Calibri"/>
              </w:rPr>
            </w:pPr>
            <w:r w:rsidRPr="007E5811">
              <w:rPr>
                <w:rFonts w:ascii="Calibri" w:hAnsi="Calibri" w:cs="Calibri"/>
              </w:rPr>
              <w:t>Warning: A formal reprimand may be issued.</w:t>
            </w:r>
          </w:p>
          <w:p w14:paraId="643668F7" w14:textId="67E0EE34" w:rsidR="00711F61" w:rsidRPr="00C37D48" w:rsidRDefault="007E5811" w:rsidP="007E5811">
            <w:pPr>
              <w:rPr>
                <w:rFonts w:ascii="Calibri" w:hAnsi="Calibri" w:cs="Calibri"/>
              </w:rPr>
            </w:pPr>
            <w:r w:rsidRPr="007E5811">
              <w:rPr>
                <w:rFonts w:ascii="Calibri" w:hAnsi="Calibri" w:cs="Calibri"/>
              </w:rPr>
              <w:t>Immediate suspension of activities: The Ministry can order the immediate halt of all or some project activities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49313A7" w:rsidR="001F30DE" w:rsidRPr="00C37D48" w:rsidRDefault="00C83693"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3001BF7" w14:textId="77777777" w:rsidR="001F30DE" w:rsidRDefault="000B647B" w:rsidP="00C37D48">
            <w:pPr>
              <w:rPr>
                <w:rFonts w:ascii="Calibri" w:hAnsi="Calibri" w:cs="Calibri"/>
              </w:rPr>
            </w:pPr>
            <w:r w:rsidRPr="000B647B">
              <w:rPr>
                <w:rFonts w:ascii="Calibri" w:hAnsi="Calibri" w:cs="Calibri"/>
              </w:rPr>
              <w:t xml:space="preserve">The </w:t>
            </w:r>
            <w:proofErr w:type="spellStart"/>
            <w:r w:rsidRPr="000B647B">
              <w:rPr>
                <w:rFonts w:ascii="Calibri" w:hAnsi="Calibri" w:cs="Calibri"/>
              </w:rPr>
              <w:t>UPME</w:t>
            </w:r>
            <w:proofErr w:type="spellEnd"/>
            <w:r w:rsidRPr="000B647B">
              <w:rPr>
                <w:rFonts w:ascii="Calibri" w:hAnsi="Calibri" w:cs="Calibri"/>
              </w:rPr>
              <w:t xml:space="preserve"> website, managed by one of the entities responsible for implementing and monitoring the policies set forth in the policy tool, already offers specific channels to access the various incentives established by this instrument</w:t>
            </w:r>
            <w:r>
              <w:rPr>
                <w:rFonts w:ascii="Calibri" w:hAnsi="Calibri" w:cs="Calibri"/>
              </w:rPr>
              <w:t>.</w:t>
            </w:r>
          </w:p>
          <w:p w14:paraId="3BA84EFA" w14:textId="5F398829" w:rsidR="000B647B" w:rsidRPr="00C37D48" w:rsidRDefault="000B647B" w:rsidP="00C37D48">
            <w:pPr>
              <w:rPr>
                <w:rFonts w:ascii="Calibri" w:hAnsi="Calibri" w:cs="Calibri"/>
              </w:rPr>
            </w:pPr>
            <w:hyperlink r:id="rId18" w:history="1">
              <w:r w:rsidRPr="009F5DF8">
                <w:rPr>
                  <w:rStyle w:val="Hipervnculo"/>
                  <w:rFonts w:ascii="Calibri" w:hAnsi="Calibri" w:cs="Calibri"/>
                </w:rPr>
                <w:t>https://web.archive.org/web/20250707164835/https://www.upme.gov.co/modulo-de-incentivos-tributarios-de-fuentes-no-convencionales-de-energia-fnce/</w:t>
              </w:r>
            </w:hyperlink>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3D297844" w:rsidR="001F30DE" w:rsidRPr="00C37D48" w:rsidRDefault="000B647B"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3C25F979" w:rsidR="001F30DE" w:rsidRPr="00C37D48" w:rsidRDefault="00AB5D41" w:rsidP="00C37D48">
            <w:pPr>
              <w:rPr>
                <w:rFonts w:ascii="Calibri" w:hAnsi="Calibri" w:cs="Calibri"/>
              </w:rPr>
            </w:pPr>
            <w:r w:rsidRPr="00C83693">
              <w:rPr>
                <w:rFonts w:ascii="Calibri" w:hAnsi="Calibri" w:cs="Calibri"/>
              </w:rPr>
              <w:t xml:space="preserve">Based on the monitoring mechanisms established by the policy tool, it is currently possible to verify the execution of various projects that originated from the provisions set forth in the policy tool, such as the centralized information platform managed by </w:t>
            </w:r>
            <w:proofErr w:type="spellStart"/>
            <w:r w:rsidRPr="00C83693">
              <w:rPr>
                <w:rFonts w:ascii="Calibri" w:hAnsi="Calibri" w:cs="Calibri"/>
              </w:rPr>
              <w:t>FENOGE</w:t>
            </w:r>
            <w:proofErr w:type="spellEnd"/>
            <w:r w:rsidRPr="00C83693">
              <w:rPr>
                <w:rFonts w:ascii="Calibri" w:hAnsi="Calibri" w:cs="Calibri"/>
              </w:rPr>
              <w:t>.</w:t>
            </w:r>
            <w:r>
              <w:rPr>
                <w:rFonts w:ascii="Calibri" w:hAnsi="Calibri" w:cs="Calibri"/>
              </w:rPr>
              <w:t xml:space="preserve"> </w:t>
            </w:r>
            <w:hyperlink r:id="rId19" w:history="1">
              <w:r w:rsidRPr="009F5DF8">
                <w:rPr>
                  <w:rStyle w:val="Hipervnculo"/>
                  <w:rFonts w:ascii="Calibri" w:hAnsi="Calibri" w:cs="Calibri"/>
                </w:rPr>
                <w:t>https://web.archive.org/web/20250707163247/https://fenoge.gov.co/proyectos/proyectos-ejecutados/</w:t>
              </w:r>
            </w:hyperlink>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AF7ADB4" w:rsidR="001F30DE" w:rsidRPr="00C37D48" w:rsidRDefault="000B647B"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072B9A2" w14:textId="65AFEF06" w:rsidR="000B647B" w:rsidRPr="000B647B" w:rsidRDefault="000B647B" w:rsidP="000B647B">
            <w:pPr>
              <w:rPr>
                <w:rFonts w:ascii="Calibri" w:hAnsi="Calibri" w:cs="Calibri"/>
              </w:rPr>
            </w:pPr>
            <w:r w:rsidRPr="000B647B">
              <w:rPr>
                <w:rFonts w:ascii="Calibri" w:hAnsi="Calibri" w:cs="Calibri"/>
              </w:rPr>
              <w:t>In Judgment C-186 of 2022, the Constitutional Court</w:t>
            </w:r>
            <w:r>
              <w:rPr>
                <w:rFonts w:ascii="Calibri" w:hAnsi="Calibri" w:cs="Calibri"/>
              </w:rPr>
              <w:t xml:space="preserve"> of Colombia</w:t>
            </w:r>
            <w:r w:rsidRPr="000B647B">
              <w:rPr>
                <w:rFonts w:ascii="Calibri" w:hAnsi="Calibri" w:cs="Calibri"/>
              </w:rPr>
              <w:t xml:space="preserve"> reviewed a provision of Article 56 of Law 2099 of 2021, which prohibited energy companies from passing on to users the costs associated with the acquisition, installation, maintenance, and repair of smart meters.</w:t>
            </w:r>
          </w:p>
          <w:p w14:paraId="3971ADFF" w14:textId="463C7734" w:rsidR="000B647B" w:rsidRPr="000B647B" w:rsidRDefault="000B647B" w:rsidP="000B647B">
            <w:pPr>
              <w:rPr>
                <w:rFonts w:ascii="Calibri" w:hAnsi="Calibri" w:cs="Calibri"/>
              </w:rPr>
            </w:pPr>
            <w:r w:rsidRPr="000B647B">
              <w:rPr>
                <w:rFonts w:ascii="Calibri" w:hAnsi="Calibri" w:cs="Calibri"/>
              </w:rPr>
              <w:t>The Court declared this prohibition unconstitutional. It found that the measure violated Article 367 of the Colombian Constitution, which guarantees the right of public utility providers to recover the costs of service provision. The Court held that the restriction was disproportionate, as it entirely prevented companies from recovering necessary investments, undermining the financial sustainability and efficiency of energy services.</w:t>
            </w:r>
          </w:p>
          <w:p w14:paraId="2B33BCED" w14:textId="18B5E175" w:rsidR="000B647B" w:rsidRPr="000B647B" w:rsidRDefault="000B647B" w:rsidP="000B647B">
            <w:pPr>
              <w:rPr>
                <w:rFonts w:ascii="Calibri" w:hAnsi="Calibri" w:cs="Calibri"/>
              </w:rPr>
            </w:pPr>
            <w:r w:rsidRPr="000B647B">
              <w:rPr>
                <w:rFonts w:ascii="Calibri" w:hAnsi="Calibri" w:cs="Calibri"/>
              </w:rPr>
              <w:t>Moreover, the Court noted that users benefit directly from smart meters and, in many cases, are the owners of these devices. Therefore, requiring energy companies to fully absorb these costs was considered unreasonable.</w:t>
            </w:r>
          </w:p>
          <w:p w14:paraId="5F766E59" w14:textId="77777777" w:rsidR="001F30DE" w:rsidRDefault="000B647B" w:rsidP="000B647B">
            <w:pPr>
              <w:rPr>
                <w:rFonts w:ascii="Calibri" w:hAnsi="Calibri" w:cs="Calibri"/>
              </w:rPr>
            </w:pPr>
            <w:r w:rsidRPr="000B647B">
              <w:rPr>
                <w:rFonts w:ascii="Calibri" w:hAnsi="Calibri" w:cs="Calibri"/>
              </w:rPr>
              <w:t>As a result, the specific clause prohibiting cost recovery was struck down, while the rest of Article 56 remains in force. Energy companies may now recover the costs of smart meters through appropriate mechanisms that comply with constitutional principles.</w:t>
            </w:r>
          </w:p>
          <w:p w14:paraId="6646114E" w14:textId="783B85CF" w:rsidR="004174DC" w:rsidRPr="00C37D48" w:rsidRDefault="004174DC" w:rsidP="000B647B">
            <w:pPr>
              <w:rPr>
                <w:rFonts w:ascii="Calibri" w:hAnsi="Calibri" w:cs="Calibri"/>
              </w:rPr>
            </w:pPr>
            <w:hyperlink r:id="rId20" w:history="1">
              <w:r w:rsidRPr="009F5DF8">
                <w:rPr>
                  <w:rStyle w:val="Hipervnculo"/>
                  <w:rFonts w:ascii="Calibri" w:hAnsi="Calibri" w:cs="Calibri"/>
                </w:rPr>
                <w:t>https://web.archive.org/web/20250707165651/https://www.corteconstitucional.gov.co/relatoria/2022/c-186-22</w:t>
              </w:r>
            </w:hyperlink>
            <w:r>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2D7E9D9" w:rsidR="004F48E8" w:rsidRPr="00C37D48" w:rsidRDefault="004174D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lastRenderedPageBreak/>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64802EF" w:rsidR="000A1365" w:rsidRPr="00C37D48" w:rsidRDefault="004174D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4AE6C2D" w:rsidR="00890032" w:rsidRPr="00C37D48" w:rsidRDefault="004174D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D186DA6" w:rsidR="00B610C2" w:rsidRPr="00610F28" w:rsidRDefault="004174D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D335326" w:rsidR="00B610C2" w:rsidRPr="00610F28" w:rsidRDefault="004174D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509841E" w:rsidR="00B610C2" w:rsidRPr="00610F28" w:rsidRDefault="004174D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91E25EC" w:rsidR="00B610C2" w:rsidRPr="00610F28" w:rsidRDefault="004174D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4A1C352" w:rsidR="00B610C2" w:rsidRPr="00610F28" w:rsidRDefault="004174D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CCF12E7" w:rsidR="00B610C2" w:rsidRPr="00610F28" w:rsidRDefault="004174D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F151A56" w:rsidR="00B610C2" w:rsidRPr="00610F28" w:rsidRDefault="004174D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7A016CE" w:rsidR="00B610C2" w:rsidRPr="00610F28" w:rsidRDefault="004174D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397B434" w:rsidR="00B610C2" w:rsidRPr="00610F28" w:rsidRDefault="004174D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DE900C9" w:rsidR="00B610C2" w:rsidRPr="00610F28" w:rsidRDefault="004174D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482E376" w:rsidR="00B610C2" w:rsidRPr="00610F28" w:rsidRDefault="003B33C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Institute (</w:t>
              </w:r>
              <w:proofErr w:type="spellStart"/>
              <w:r w:rsidRPr="009C4D10">
                <w:rPr>
                  <w:rStyle w:val="Hipervnculo"/>
                  <w:rFonts w:cstheme="minorHAnsi"/>
                </w:rPr>
                <w:t>FSI</w:t>
              </w:r>
              <w:proofErr w:type="spellEnd"/>
              <w:r w:rsidRPr="009C4D10">
                <w:rPr>
                  <w:rStyle w:val="Hipervnculo"/>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024563" w14:textId="77777777" w:rsidR="00C04EEC" w:rsidRDefault="00C04EEC" w:rsidP="00874E39">
      <w:r>
        <w:separator/>
      </w:r>
    </w:p>
  </w:endnote>
  <w:endnote w:type="continuationSeparator" w:id="0">
    <w:p w14:paraId="7D4C77BF" w14:textId="77777777" w:rsidR="00C04EEC" w:rsidRDefault="00C04EEC" w:rsidP="00874E39">
      <w:r>
        <w:continuationSeparator/>
      </w:r>
    </w:p>
  </w:endnote>
  <w:endnote w:type="continuationNotice" w:id="1">
    <w:p w14:paraId="44C66458" w14:textId="77777777" w:rsidR="00C04EEC" w:rsidRDefault="00C04E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9B6B36" w14:textId="77777777" w:rsidR="00C04EEC" w:rsidRDefault="00C04EEC" w:rsidP="00874E39">
      <w:r>
        <w:separator/>
      </w:r>
    </w:p>
  </w:footnote>
  <w:footnote w:type="continuationSeparator" w:id="0">
    <w:p w14:paraId="67C7B02E" w14:textId="77777777" w:rsidR="00C04EEC" w:rsidRDefault="00C04EEC" w:rsidP="00874E39">
      <w:r>
        <w:continuationSeparator/>
      </w:r>
    </w:p>
  </w:footnote>
  <w:footnote w:type="continuationNotice" w:id="1">
    <w:p w14:paraId="1A82AEA5" w14:textId="77777777" w:rsidR="00C04EEC" w:rsidRDefault="00C04EE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E89371E"/>
    <w:multiLevelType w:val="hybridMultilevel"/>
    <w:tmpl w:val="22E0412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116440E"/>
    <w:multiLevelType w:val="hybridMultilevel"/>
    <w:tmpl w:val="22E0412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2"/>
  </w:num>
  <w:num w:numId="14" w16cid:durableId="430587014">
    <w:abstractNumId w:val="7"/>
  </w:num>
  <w:num w:numId="15" w16cid:durableId="1742869061">
    <w:abstractNumId w:val="32"/>
  </w:num>
  <w:num w:numId="16" w16cid:durableId="1996450437">
    <w:abstractNumId w:val="21"/>
  </w:num>
  <w:num w:numId="17" w16cid:durableId="1529031027">
    <w:abstractNumId w:val="8"/>
  </w:num>
  <w:num w:numId="18" w16cid:durableId="568614617">
    <w:abstractNumId w:val="19"/>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731125474">
    <w:abstractNumId w:val="18"/>
  </w:num>
  <w:num w:numId="50" w16cid:durableId="1231966451">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47B"/>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440"/>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7AE"/>
    <w:rsid w:val="002A0239"/>
    <w:rsid w:val="002A1860"/>
    <w:rsid w:val="002A1997"/>
    <w:rsid w:val="002A237B"/>
    <w:rsid w:val="002A32E0"/>
    <w:rsid w:val="002A3C84"/>
    <w:rsid w:val="002A3F53"/>
    <w:rsid w:val="002A4221"/>
    <w:rsid w:val="002A583B"/>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48A"/>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7AA"/>
    <w:rsid w:val="00307058"/>
    <w:rsid w:val="003071A8"/>
    <w:rsid w:val="00307464"/>
    <w:rsid w:val="0031143A"/>
    <w:rsid w:val="00311F1B"/>
    <w:rsid w:val="00312671"/>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3C1"/>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5FC1"/>
    <w:rsid w:val="00406643"/>
    <w:rsid w:val="00410170"/>
    <w:rsid w:val="00410853"/>
    <w:rsid w:val="00410FCF"/>
    <w:rsid w:val="00413B91"/>
    <w:rsid w:val="0041424B"/>
    <w:rsid w:val="00414CFC"/>
    <w:rsid w:val="00415C1C"/>
    <w:rsid w:val="00415F83"/>
    <w:rsid w:val="0041618A"/>
    <w:rsid w:val="00416554"/>
    <w:rsid w:val="004174DC"/>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DB0"/>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01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811"/>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578"/>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D41"/>
    <w:rsid w:val="00AB64F8"/>
    <w:rsid w:val="00AB6E5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EE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693"/>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948"/>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AD2"/>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38E"/>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46963498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128009815">
      <w:bodyDiv w:val="1"/>
      <w:marLeft w:val="0"/>
      <w:marRight w:val="0"/>
      <w:marTop w:val="0"/>
      <w:marBottom w:val="0"/>
      <w:divBdr>
        <w:top w:val="none" w:sz="0" w:space="0" w:color="auto"/>
        <w:left w:val="none" w:sz="0" w:space="0" w:color="auto"/>
        <w:bottom w:val="none" w:sz="0" w:space="0" w:color="auto"/>
        <w:right w:val="none" w:sz="0" w:space="0" w:color="auto"/>
      </w:divBdr>
    </w:div>
    <w:div w:id="119650561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077930">
      <w:bodyDiv w:val="1"/>
      <w:marLeft w:val="0"/>
      <w:marRight w:val="0"/>
      <w:marTop w:val="0"/>
      <w:marBottom w:val="0"/>
      <w:divBdr>
        <w:top w:val="none" w:sz="0" w:space="0" w:color="auto"/>
        <w:left w:val="none" w:sz="0" w:space="0" w:color="auto"/>
        <w:bottom w:val="none" w:sz="0" w:space="0" w:color="auto"/>
        <w:right w:val="none" w:sz="0" w:space="0" w:color="auto"/>
      </w:divBdr>
    </w:div>
    <w:div w:id="1400984306">
      <w:bodyDiv w:val="1"/>
      <w:marLeft w:val="0"/>
      <w:marRight w:val="0"/>
      <w:marTop w:val="0"/>
      <w:marBottom w:val="0"/>
      <w:divBdr>
        <w:top w:val="none" w:sz="0" w:space="0" w:color="auto"/>
        <w:left w:val="none" w:sz="0" w:space="0" w:color="auto"/>
        <w:bottom w:val="none" w:sz="0" w:space="0" w:color="auto"/>
        <w:right w:val="none" w:sz="0" w:space="0" w:color="auto"/>
      </w:divBdr>
    </w:div>
    <w:div w:id="1457869776">
      <w:bodyDiv w:val="1"/>
      <w:marLeft w:val="0"/>
      <w:marRight w:val="0"/>
      <w:marTop w:val="0"/>
      <w:marBottom w:val="0"/>
      <w:divBdr>
        <w:top w:val="none" w:sz="0" w:space="0" w:color="auto"/>
        <w:left w:val="none" w:sz="0" w:space="0" w:color="auto"/>
        <w:bottom w:val="none" w:sz="0" w:space="0" w:color="auto"/>
        <w:right w:val="none" w:sz="0" w:space="0" w:color="auto"/>
      </w:divBdr>
    </w:div>
    <w:div w:id="1458179319">
      <w:bodyDiv w:val="1"/>
      <w:marLeft w:val="0"/>
      <w:marRight w:val="0"/>
      <w:marTop w:val="0"/>
      <w:marBottom w:val="0"/>
      <w:divBdr>
        <w:top w:val="none" w:sz="0" w:space="0" w:color="auto"/>
        <w:left w:val="none" w:sz="0" w:space="0" w:color="auto"/>
        <w:bottom w:val="none" w:sz="0" w:space="0" w:color="auto"/>
        <w:right w:val="none" w:sz="0" w:space="0" w:color="auto"/>
      </w:divBdr>
    </w:div>
    <w:div w:id="149568181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7164835/https://www.upme.gov.co/modulo-de-incentivos-tributarios-de-fuentes-no-convencionales-de-energia-fnce/"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50133/https://www.funcionpublica.gov.co/eva/gestornormativo/norma_pdf.php?i=166326"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165651/https://www.corteconstitucional.gov.co/relatoria/2022/c-186-2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07163247/https://fenoge.gov.co/proyectos/proyectos-ejecutado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BE8EBDE-96F0-46ED-986F-A1A30C6BA064}"/>
</file>

<file path=docProps/app.xml><?xml version="1.0" encoding="utf-8"?>
<Properties xmlns="http://schemas.openxmlformats.org/officeDocument/2006/extended-properties" xmlns:vt="http://schemas.openxmlformats.org/officeDocument/2006/docPropsVTypes">
  <Template>Normal</Template>
  <TotalTime>156</TotalTime>
  <Pages>113</Pages>
  <Words>23358</Words>
  <Characters>128473</Characters>
  <Application>Microsoft Office Word</Application>
  <DocSecurity>0</DocSecurity>
  <Lines>1070</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4</cp:revision>
  <cp:lastPrinted>2025-03-21T00:14:00Z</cp:lastPrinted>
  <dcterms:created xsi:type="dcterms:W3CDTF">2025-06-25T15:11:00Z</dcterms:created>
  <dcterms:modified xsi:type="dcterms:W3CDTF">2025-07-07T17:09:00Z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